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rPr>
      </w:pPr>
      <w:r>
        <w:rPr>
          <w:rFonts w:hint="eastAsia" w:ascii="黑体" w:hAnsi="黑体" w:eastAsia="黑体" w:cs="宋体"/>
          <w:color w:val="333333"/>
          <w:sz w:val="32"/>
          <w:szCs w:val="32"/>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伊犁州特克斯县喀拉达拉镇文教单位整体支出绩效自评报告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部门单位名称（公章）：特克斯县喀拉达拉镇文教</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年4月28日</w:t>
      </w:r>
    </w:p>
    <w:p>
      <w:pPr>
        <w:pStyle w:val="3"/>
        <w:spacing w:line="360" w:lineRule="auto"/>
        <w:rPr>
          <w:rFonts w:ascii="仿宋" w:hAnsi="仿宋" w:eastAsia="仿宋"/>
          <w:sz w:val="36"/>
          <w:szCs w:val="36"/>
        </w:rPr>
      </w:pPr>
      <w:bookmarkStart w:id="1" w:name="_Toc70450289"/>
      <w:r>
        <w:rPr>
          <w:rFonts w:hint="eastAsia" w:ascii="仿宋" w:hAnsi="仿宋" w:eastAsia="仿宋"/>
          <w:sz w:val="36"/>
          <w:szCs w:val="36"/>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ascii="仿宋_GB2312" w:hAnsi="楷体" w:eastAsia="仿宋_GB2312"/>
          <w:b w:val="0"/>
          <w:spacing w:val="-4"/>
          <w:sz w:val="28"/>
          <w:szCs w:val="28"/>
        </w:rPr>
      </w:pPr>
      <w:bookmarkStart w:id="4" w:name="_Toc70450292"/>
      <w:r>
        <w:rPr>
          <w:rStyle w:val="16"/>
          <w:rFonts w:hint="eastAsia" w:ascii="仿宋_GB2312" w:hAnsi="楷体" w:eastAsia="仿宋_GB2312"/>
          <w:b w:val="0"/>
          <w:spacing w:val="-4"/>
          <w:sz w:val="28"/>
          <w:szCs w:val="28"/>
        </w:rPr>
        <w:t>1.宣传贯彻党的路线、方针、政策，坚持正确的办学方向。</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2.负责党的理论教育研讨工作，指导干部学习党的理论，培养合格的党员干部。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3.编制学校教学计划，管理，协调教育活动，开展教学情况。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4.完成全校交办的其他工作。</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特克斯县喀拉达拉镇文教无下属预算单位，下设7个处室，分别是：</w:t>
      </w:r>
      <w:r>
        <w:rPr>
          <w:rStyle w:val="16"/>
          <w:rFonts w:ascii="仿宋_GB2312" w:hAnsi="楷体" w:eastAsia="仿宋_GB2312"/>
          <w:b w:val="0"/>
          <w:spacing w:val="-4"/>
          <w:sz w:val="28"/>
          <w:szCs w:val="28"/>
        </w:rPr>
        <w:t>办公室、教务处、德育处、教研室、总务处、工会、党建办</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（2）2021年特克斯县喀拉达拉镇文教实有在职人员为396人，其中：</w:t>
      </w:r>
    </w:p>
    <w:p>
      <w:pPr>
        <w:spacing w:line="360" w:lineRule="auto"/>
        <w:ind w:left="682" w:leftChars="260" w:hanging="136" w:hangingChars="5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行政在职0 人（上年0人），同比上年增加0人（与上年一致）</w:t>
      </w:r>
    </w:p>
    <w:p>
      <w:pPr>
        <w:spacing w:line="360" w:lineRule="auto"/>
        <w:ind w:left="682" w:leftChars="260" w:hanging="136" w:hangingChars="50"/>
        <w:rPr>
          <w:rStyle w:val="16"/>
          <w:rFonts w:ascii="仿宋_GB2312" w:hAnsi="楷体" w:eastAsia="仿宋_GB2312"/>
          <w:b w:val="0"/>
          <w:spacing w:val="-4"/>
          <w:sz w:val="28"/>
          <w:szCs w:val="28"/>
          <w:highlight w:val="yellow"/>
        </w:rPr>
      </w:pPr>
      <w:r>
        <w:rPr>
          <w:rStyle w:val="16"/>
          <w:rFonts w:hint="eastAsia" w:ascii="仿宋_GB2312" w:hAnsi="楷体" w:eastAsia="仿宋_GB2312"/>
          <w:b w:val="0"/>
          <w:spacing w:val="-4"/>
          <w:sz w:val="28"/>
          <w:szCs w:val="28"/>
        </w:rPr>
        <w:t>事业在职人员396人（上年378人），比上年增加18人。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实有离休人员0人（上年0人）,同比上年增加0人（与上年一致）。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实有退休人员114人（上年111人）,同比上年增加3人。</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ascii="仿宋_GB2312" w:hAnsi="楷体" w:eastAsia="仿宋_GB2312"/>
          <w:b w:val="0"/>
          <w:bCs w:val="0"/>
          <w:spacing w:val="-4"/>
          <w:sz w:val="28"/>
          <w:szCs w:val="28"/>
        </w:rPr>
      </w:pPr>
      <w:bookmarkStart w:id="6" w:name="_Toc70450294"/>
      <w:r>
        <w:rPr>
          <w:rStyle w:val="16"/>
          <w:rFonts w:hint="eastAsia" w:ascii="仿宋_GB2312" w:hAnsi="楷体" w:eastAsia="仿宋_GB2312"/>
          <w:b w:val="0"/>
          <w:bCs w:val="0"/>
          <w:spacing w:val="-4"/>
          <w:sz w:val="28"/>
          <w:szCs w:val="28"/>
        </w:rPr>
        <w:t>（1）确保人员经费的合理分配。</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（2）完成在职教师工资发放、按时完成社保、公积金缴纳。</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（3）及时完成退休教师取暖费、计生奖励金按时发放。</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（4）完成每年教学任务。全面推进各类教师能力提升培训，加强教师队伍建设。完成好教育教学管理工作。</w:t>
      </w:r>
    </w:p>
    <w:p>
      <w:pPr>
        <w:pStyle w:val="4"/>
        <w:spacing w:line="360" w:lineRule="auto"/>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2021年批复我单位预算为6377.68万元，其中：财政拨款为6377.68万元，2021年中追加2259.25万元，调整率54.86%。对比上年4019.17万元增加</w:t>
      </w:r>
      <w:r>
        <w:rPr>
          <w:rStyle w:val="16"/>
          <w:rFonts w:hint="eastAsia" w:ascii="仿宋_GB2312" w:hAnsi="楷体" w:eastAsia="仿宋_GB2312"/>
          <w:b w:val="0"/>
          <w:spacing w:val="-4"/>
          <w:sz w:val="28"/>
          <w:szCs w:val="28"/>
          <w:lang w:val="en-US" w:eastAsia="zh-CN"/>
        </w:rPr>
        <w:t>2358.51</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58.68</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2021年实际决算支出6377.68万元，执行率100%，其中：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6377.68万元，占总支出的100％，主要用于特克斯县喀拉达拉镇文教机构正常运转、完成日常工作任务而发生的各项支出。其中：工资福利支出5521.87万元，主要用于在职和离退休人员基本工资、津贴补贴等人员经费。商品和服务支出645.54万元，主要用于办公费、印刷费、水电费、办公设备购置等。对个人和家庭的补助210.27万元，主要用于：人员支出和公用支出。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）项目支出0万元，占总支出的0％。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）本年度重点项目支出0万元，重点支出保障率0%。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（4）本年度我单位无政府采购预算。</w:t>
      </w:r>
    </w:p>
    <w:p>
      <w:pPr>
        <w:pStyle w:val="5"/>
        <w:spacing w:line="360" w:lineRule="auto"/>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本次项目支出绩效自评采用因素分析法方法，原因是：特克斯县喀拉达拉镇文教从数量上确定各因素对分析指标影响方向和影响程度一种方法，运用因素分析法应注意因素关联性、顺序性。</w:t>
      </w:r>
    </w:p>
    <w:p>
      <w:pPr>
        <w:spacing w:line="360" w:lineRule="auto"/>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1 \* GB3</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2 \* GB3</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3 \* GB3</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4 \* GB3</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本次评价对象是特克斯县喀拉达拉镇文教所有财政资金支出活动。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基本支出6377.68万元，其中：工资福利支出、商品和服务支出、对个人和家庭的补助支出。</w:t>
      </w:r>
    </w:p>
    <w:p>
      <w:pPr>
        <w:spacing w:line="360" w:lineRule="auto"/>
        <w:ind w:firstLine="544" w:firstLineChars="200"/>
        <w:rPr>
          <w:rStyle w:val="16"/>
          <w:rFonts w:ascii="仿宋_GB2312" w:hAnsi="楷体" w:eastAsia="仿宋_GB2312"/>
          <w:b w:val="0"/>
          <w:spacing w:val="-4"/>
          <w:sz w:val="28"/>
          <w:szCs w:val="28"/>
          <w:highlight w:val="yellow"/>
        </w:rPr>
      </w:pPr>
      <w:r>
        <w:rPr>
          <w:rStyle w:val="16"/>
          <w:rFonts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项目支出0万元。</w:t>
      </w:r>
    </w:p>
    <w:p>
      <w:pPr>
        <w:pStyle w:val="3"/>
        <w:spacing w:line="360" w:lineRule="auto"/>
        <w:rPr>
          <w:rFonts w:ascii="仿宋" w:hAnsi="仿宋" w:eastAsia="仿宋"/>
          <w:sz w:val="36"/>
          <w:szCs w:val="36"/>
        </w:rPr>
      </w:pPr>
      <w:bookmarkStart w:id="10" w:name="_Toc70450297"/>
      <w:r>
        <w:rPr>
          <w:rFonts w:hint="eastAsia" w:ascii="仿宋" w:hAnsi="仿宋" w:eastAsia="仿宋"/>
          <w:sz w:val="36"/>
          <w:szCs w:val="36"/>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rPr>
        <w:t>特克斯县喀拉达拉镇文教严格按照财政部门预算编制与预算调整的工作要求，在预算编制、分配依据充分的条件下，切实做好“先定目标再编预算”，确保预算分配结果合理。同时按照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rPr>
        <w:t>要求，部门预算及绩效目标在特克斯县人民政府政务网站公开，</w:t>
      </w:r>
      <w:r>
        <w:rPr>
          <w:rFonts w:ascii="仿宋_GB2312" w:eastAsia="仿宋_GB2312"/>
          <w:sz w:val="28"/>
          <w:szCs w:val="36"/>
          <w:lang w:val="zh-CN"/>
        </w:rPr>
        <w:t>广泛接受社会监督</w:t>
      </w:r>
      <w:r>
        <w:rPr>
          <w:rFonts w:hint="eastAsia" w:ascii="仿宋_GB2312" w:eastAsia="仿宋_GB2312"/>
          <w:sz w:val="28"/>
          <w:szCs w:val="36"/>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560" w:lineRule="exact"/>
        <w:ind w:firstLine="560" w:firstLineChars="200"/>
        <w:rPr>
          <w:rStyle w:val="16"/>
          <w:b w:val="0"/>
          <w:bCs w:val="0"/>
        </w:rPr>
      </w:pPr>
      <w:r>
        <w:rPr>
          <w:rFonts w:hint="eastAsia" w:ascii="仿宋_GB2312" w:eastAsia="仿宋_GB2312"/>
          <w:sz w:val="28"/>
          <w:szCs w:val="36"/>
        </w:rPr>
        <w:t>特克斯县喀拉达拉镇文教按照财政要求基本支出分月度申报资金使用计划，由财政部门按照进度每月按期拨付，人员支出按照工资计划发放工资；依照特克斯县喀拉达拉镇文教《财务管理制度》相关规定和特克斯县喀拉达拉镇文教《财务管理制度》规定流程，资金支出按照我内控体系中设定的流程申报审批进行；项目支出属于政府采购的，按照局特克斯县喀拉达拉文教《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6377.68万元，实际到位6377.68万元,实际支出6377.68万元，占总支出的100％，其中：工资福利支出5521.87万元、商品和服务支出645.54万元、对个人和家庭的补助210.27万元、主要用于遗属补助、退休人员计划生育津贴补贴、丧葬费、一次性抚恤金。资本性支出0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2021年基本支出比上年6144.25万元,增加233.43万元，上升3.80</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，支出上升的主要原因是人员调整，特岗入编，人数增加，兑现了部分人员职称工资，2021年3月绩效调标，发放2018年.2020年绩效奖金及2020年综合治理奖。</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年一般公共预算“三公”经费数为0万元，其中：因公出国（境）费0万元，公务用车购置0万元，公务用车运行费0万元，公务接待费0万元。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0万元，其中：因公出国（境）费0万元，主要原因是未安排预算；公务用车购置费为0，未安排预算。公务用车运行费增加0万元，主要原因是未安排预算；公务接待费增加0，主要原因是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年预算安排专项资金0万元，实际到位0万元,到位率0％,其中:中央转移支付项目资金万元，自治区资金万元，本级安排0万元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2021年专项资金支出0万元，占总支出的0%，其中2021年专项项目支出比上年万元增加0万元，上升0%。支出上升的主要原因是未安排预算。其中：项目安排0万元，</w:t>
      </w:r>
      <w:bookmarkStart w:id="18" w:name="_Toc70450305"/>
      <w:r>
        <w:rPr>
          <w:rStyle w:val="16"/>
          <w:rFonts w:hint="eastAsia" w:ascii="仿宋_GB2312" w:hAnsi="楷体" w:eastAsia="仿宋_GB2312"/>
          <w:b w:val="0"/>
          <w:spacing w:val="-4"/>
          <w:sz w:val="28"/>
          <w:szCs w:val="28"/>
        </w:rPr>
        <w:t>主要原因是2021年我单位未安排预算。</w:t>
      </w:r>
    </w:p>
    <w:p>
      <w:pPr>
        <w:spacing w:line="360" w:lineRule="auto"/>
        <w:ind w:firstLine="551" w:firstLineChars="196"/>
        <w:rPr>
          <w:rStyle w:val="16"/>
          <w:rFonts w:ascii="仿宋" w:hAnsi="仿宋" w:eastAsia="仿宋" w:cstheme="majorBidi"/>
          <w:sz w:val="28"/>
          <w:szCs w:val="28"/>
        </w:rPr>
      </w:pPr>
      <w:r>
        <w:rPr>
          <w:rStyle w:val="16"/>
          <w:rFonts w:hint="eastAsia" w:ascii="仿宋" w:hAnsi="仿宋" w:eastAsia="仿宋" w:cstheme="majorBidi"/>
          <w:sz w:val="28"/>
          <w:szCs w:val="28"/>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Fonts w:hint="eastAsia" w:ascii="仿宋_GB2312" w:eastAsia="仿宋_GB2312"/>
          <w:sz w:val="28"/>
          <w:szCs w:val="36"/>
        </w:rPr>
        <w:t>特克斯县喀拉达拉镇文教</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Fonts w:hint="eastAsia" w:ascii="仿宋_GB2312" w:eastAsia="仿宋_GB2312"/>
          <w:sz w:val="28"/>
          <w:szCs w:val="36"/>
        </w:rPr>
        <w:t>特克斯县喀拉达拉镇文教</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Fonts w:hint="eastAsia" w:ascii="仿宋_GB2312" w:eastAsia="仿宋_GB2312"/>
          <w:sz w:val="28"/>
          <w:szCs w:val="36"/>
        </w:rPr>
        <w:t>特克斯县喀拉达拉镇文教</w:t>
      </w:r>
      <w:r>
        <w:rPr>
          <w:rStyle w:val="16"/>
          <w:rFonts w:hint="eastAsia" w:ascii="仿宋_GB2312" w:hAnsi="楷体" w:eastAsia="仿宋_GB2312"/>
          <w:b w:val="0"/>
          <w:spacing w:val="-4"/>
          <w:sz w:val="28"/>
          <w:szCs w:val="28"/>
        </w:rPr>
        <w:t>项目实施方案，确保项目顺利进行。</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w:t>
      </w:r>
      <w:r>
        <w:rPr>
          <w:rFonts w:hint="eastAsia" w:ascii="仿宋_GB2312" w:eastAsia="仿宋_GB2312"/>
          <w:sz w:val="28"/>
          <w:szCs w:val="36"/>
        </w:rPr>
        <w:t>特克斯县喀拉达拉镇文教</w:t>
      </w:r>
      <w:r>
        <w:rPr>
          <w:rStyle w:val="16"/>
          <w:rFonts w:hint="eastAsia" w:ascii="仿宋_GB2312" w:hAnsi="楷体" w:eastAsia="仿宋_GB2312"/>
          <w:b w:val="0"/>
          <w:spacing w:val="-4"/>
          <w:sz w:val="28"/>
          <w:szCs w:val="28"/>
        </w:rPr>
        <w:t>项目验收，确保项目顺利进行。</w:t>
      </w:r>
    </w:p>
    <w:p>
      <w:pPr>
        <w:spacing w:line="360" w:lineRule="auto"/>
        <w:ind w:firstLine="492" w:firstLineChars="181"/>
        <w:rPr>
          <w:rStyle w:val="16"/>
          <w:rFonts w:ascii="仿宋_GB2312" w:hAnsi="楷体" w:eastAsia="仿宋_GB2312"/>
          <w:b w:val="0"/>
          <w:spacing w:val="-4"/>
          <w:sz w:val="28"/>
          <w:szCs w:val="28"/>
          <w:highlight w:val="yellow"/>
        </w:rPr>
      </w:pPr>
      <w:r>
        <w:rPr>
          <w:rStyle w:val="16"/>
          <w:rFonts w:hint="eastAsia" w:ascii="仿宋_GB2312" w:hAnsi="楷体" w:eastAsia="仿宋_GB2312"/>
          <w:b w:val="0"/>
          <w:spacing w:val="-4"/>
          <w:sz w:val="28"/>
          <w:szCs w:val="28"/>
        </w:rPr>
        <w:t>专项资金涉及政府采购项目的，按照局《呼吉尔特蒙古民族乡托斯曼小学采购与招标管理办法》组织人员制定采购计划，按照财政局采购部门批复，进行公开招标、邀请招标等方式进行。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rPr>
      </w:pPr>
      <w:bookmarkStart w:id="19" w:name="_Toc70450306"/>
      <w:r>
        <w:rPr>
          <w:rFonts w:hint="eastAsia" w:ascii="仿宋" w:hAnsi="仿宋" w:eastAsia="仿宋"/>
          <w:sz w:val="36"/>
          <w:szCs w:val="36"/>
        </w:rPr>
        <w:t>三、部门单位专项组织实施情况</w:t>
      </w:r>
      <w:bookmarkEnd w:id="19"/>
    </w:p>
    <w:p>
      <w:pPr>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本单位2021年度未安排项目支出预算</w:t>
      </w:r>
    </w:p>
    <w:p/>
    <w:p>
      <w:pPr>
        <w:pStyle w:val="3"/>
        <w:spacing w:line="360" w:lineRule="auto"/>
        <w:rPr>
          <w:rFonts w:ascii="仿宋" w:hAnsi="仿宋" w:eastAsia="仿宋"/>
          <w:sz w:val="36"/>
          <w:szCs w:val="36"/>
        </w:rPr>
      </w:pPr>
      <w:bookmarkStart w:id="20" w:name="_Toc70450310"/>
      <w:r>
        <w:rPr>
          <w:rFonts w:hint="eastAsia" w:ascii="仿宋" w:hAnsi="仿宋" w:eastAsia="仿宋"/>
          <w:sz w:val="36"/>
          <w:szCs w:val="36"/>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我单位资产总额2974.21万元，其中流动资产0万元，固定资产净值1478.15万元（其中：土地、房屋及构筑物1286.97万元，占固定资产净值的87.07%；通用设备28.55万元，占固定资产净值的1.93%；专用设备24.20万元，占固定资产净值的1.64%；其他138.44万元，占固定资产净值的9.36%）。</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本年度流动资产万元，比上年增加0万元，原因是：无流动资产 。</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本年度固定资产2974.21万元，比上年增加17.12万元，原因是：通用设备和其他家具用具增加。</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实际在用固定资产2973.58万元，固定资产利用率99.98%。</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rPr>
      </w:pPr>
      <w:bookmarkStart w:id="23" w:name="_Toc70450313"/>
      <w:r>
        <w:rPr>
          <w:rFonts w:hint="eastAsia" w:ascii="仿宋" w:hAnsi="仿宋" w:eastAsia="仿宋"/>
          <w:sz w:val="36"/>
          <w:szCs w:val="36"/>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2021年度我单位年初预算安排4118.43万元，年中调整2259.25万元，截止12月底支出6377.68万元，执行率100%。</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宋体" w:eastAsia="仿宋_GB2312"/>
          <w:b w:val="0"/>
          <w:bCs w:val="0"/>
          <w:spacing w:val="-4"/>
          <w:sz w:val="28"/>
          <w:szCs w:val="28"/>
        </w:rPr>
      </w:pPr>
      <w:bookmarkStart w:id="26" w:name="_Toc70450316"/>
      <w:r>
        <w:rPr>
          <w:rStyle w:val="16"/>
          <w:rFonts w:hint="eastAsia" w:ascii="仿宋_GB2312" w:hAnsi="宋体" w:eastAsia="仿宋_GB2312"/>
          <w:b w:val="0"/>
          <w:bCs w:val="0"/>
          <w:spacing w:val="-4"/>
          <w:sz w:val="28"/>
          <w:szCs w:val="28"/>
        </w:rPr>
        <w:t>2021年，在特克斯县人民政府的大力支持和教育局党委的正确领导下，特克斯县喀拉达拉镇文教迎难而上、务实重干，积极推动各项教育工作取得了新的进展，为促进经济持续健康发展与社会和谐稳定提供了有力的教育支撑和保障。</w:t>
      </w:r>
    </w:p>
    <w:p>
      <w:pPr>
        <w:numPr>
          <w:ilvl w:val="0"/>
          <w:numId w:val="1"/>
        </w:num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圆满完成教学任务工作</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根据国家教育方针，严格按照上级主管部门教育教学规定，根据学校自己情况制定教育教学计划，年末圆满完成教育教学任务。</w:t>
      </w:r>
    </w:p>
    <w:p>
      <w:pPr>
        <w:numPr>
          <w:ilvl w:val="0"/>
          <w:numId w:val="1"/>
        </w:num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教育教学任务提前完成</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根据本单位教育教学任务，随时做好调整教育教学准备，加强课程实施监测和日常教学监督管理，进一步规范教学管理，提前完成本学期教学任务。</w:t>
      </w:r>
    </w:p>
    <w:p>
      <w:pPr>
        <w:numPr>
          <w:ilvl w:val="0"/>
          <w:numId w:val="1"/>
        </w:num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教师满意度：学校在评优树先的方面方案科学合理，体现公平公正的原则，能充分调动每一位教职工的积极性。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家长满意度：家长认为学校学风教风好，教师师德好。</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教师能够爱岗敬业，忠于党的教育事业，关心关爱学生。</w:t>
      </w:r>
    </w:p>
    <w:p>
      <w:pPr>
        <w:pStyle w:val="20"/>
        <w:tabs>
          <w:tab w:val="left" w:pos="312"/>
        </w:tabs>
        <w:spacing w:line="360" w:lineRule="auto"/>
        <w:ind w:left="544" w:firstLine="0" w:firstLineChars="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4、教育教学全面达标，群众满意度高。</w:t>
      </w:r>
    </w:p>
    <w:p>
      <w:pPr>
        <w:pStyle w:val="4"/>
        <w:spacing w:line="360" w:lineRule="auto"/>
        <w:ind w:firstLine="643" w:firstLineChars="200"/>
        <w:rPr>
          <w:rStyle w:val="16"/>
          <w:rFonts w:ascii="仿宋" w:hAnsi="仿宋" w:eastAsia="仿宋"/>
          <w:b/>
          <w:bCs/>
        </w:rPr>
      </w:pPr>
      <w:r>
        <w:rPr>
          <w:rStyle w:val="16"/>
          <w:rFonts w:hint="eastAsia" w:ascii="仿宋" w:hAnsi="仿宋" w:eastAsia="仿宋"/>
          <w:b/>
          <w:bCs/>
        </w:rPr>
        <w:t>（三）有效性评价</w:t>
      </w:r>
      <w:bookmarkEnd w:id="26"/>
    </w:p>
    <w:p>
      <w:pPr>
        <w:pStyle w:val="12"/>
        <w:widowControl/>
        <w:spacing w:before="40" w:beforeAutospacing="0" w:after="0" w:afterAutospacing="0" w:line="560" w:lineRule="exact"/>
        <w:ind w:firstLine="576" w:firstLineChars="212"/>
        <w:jc w:val="both"/>
        <w:rPr>
          <w:rStyle w:val="16"/>
          <w:rFonts w:ascii="仿宋_GB2312" w:eastAsia="仿宋_GB2312" w:hAnsiTheme="minorEastAsia" w:cstheme="minorBidi"/>
          <w:b w:val="0"/>
          <w:spacing w:val="-4"/>
          <w:sz w:val="28"/>
          <w:szCs w:val="28"/>
        </w:rPr>
      </w:pPr>
      <w:r>
        <w:rPr>
          <w:rStyle w:val="16"/>
          <w:rFonts w:hint="eastAsia" w:ascii="仿宋_GB2312" w:eastAsia="仿宋_GB2312" w:hAnsiTheme="minorEastAsia" w:cstheme="minorBidi"/>
          <w:b w:val="0"/>
          <w:spacing w:val="-4"/>
          <w:sz w:val="28"/>
          <w:szCs w:val="28"/>
        </w:rPr>
        <w:t>特克斯县喀拉达拉镇文教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rPr>
        <w:t>特克斯县喀拉达拉镇文教整体绩效目标共设置一级指标3个，二级指标  6个，三级指标16个，详细说明如下</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1、数量指标：</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指标1：保障在职人员人数，指标值：=378人，实际完成值：378人，指标完成率100%；</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指标2：保障退休人员数，指标值：=111人，实际完成值：111人 ，指标完成率100%；</w:t>
      </w:r>
    </w:p>
    <w:p>
      <w:pPr>
        <w:spacing w:line="360" w:lineRule="auto"/>
        <w:ind w:firstLine="544" w:firstLineChars="200"/>
        <w:rPr>
          <w:rStyle w:val="16"/>
          <w:rFonts w:hint="eastAsia" w:ascii="仿宋_GB2312" w:hAnsi="宋体" w:eastAsia="仿宋_GB2312"/>
          <w:b w:val="0"/>
          <w:bCs w:val="0"/>
          <w:spacing w:val="-4"/>
          <w:sz w:val="28"/>
          <w:szCs w:val="28"/>
          <w:lang w:eastAsia="zh-CN"/>
        </w:rPr>
      </w:pPr>
      <w:r>
        <w:rPr>
          <w:rStyle w:val="16"/>
          <w:rFonts w:hint="eastAsia" w:ascii="仿宋_GB2312" w:hAnsi="宋体" w:eastAsia="仿宋_GB2312"/>
          <w:b w:val="0"/>
          <w:bCs w:val="0"/>
          <w:spacing w:val="-4"/>
          <w:sz w:val="28"/>
          <w:szCs w:val="28"/>
        </w:rPr>
        <w:t>指标3：保障采暖补贴人员人数，指标值：=489人，实际完成值：489</w:t>
      </w:r>
      <w:r>
        <w:rPr>
          <w:rStyle w:val="16"/>
          <w:rFonts w:hint="eastAsia" w:ascii="仿宋_GB2312" w:hAnsi="宋体" w:eastAsia="仿宋_GB2312"/>
          <w:b w:val="0"/>
          <w:bCs w:val="0"/>
          <w:spacing w:val="-4"/>
          <w:sz w:val="28"/>
          <w:szCs w:val="28"/>
          <w:lang w:val="en-US" w:eastAsia="zh-CN"/>
        </w:rPr>
        <w:t>人</w:t>
      </w:r>
      <w:r>
        <w:rPr>
          <w:rStyle w:val="16"/>
          <w:rFonts w:hint="eastAsia" w:ascii="仿宋_GB2312" w:hAnsi="宋体" w:eastAsia="仿宋_GB2312"/>
          <w:b w:val="0"/>
          <w:bCs w:val="0"/>
          <w:spacing w:val="-4"/>
          <w:sz w:val="28"/>
          <w:szCs w:val="28"/>
        </w:rPr>
        <w:t>，指标完成率100%</w:t>
      </w:r>
      <w:r>
        <w:rPr>
          <w:rStyle w:val="16"/>
          <w:rFonts w:hint="eastAsia" w:ascii="仿宋_GB2312" w:hAnsi="宋体" w:eastAsia="仿宋_GB2312"/>
          <w:b w:val="0"/>
          <w:bCs w:val="0"/>
          <w:spacing w:val="-4"/>
          <w:sz w:val="28"/>
          <w:szCs w:val="28"/>
          <w:lang w:eastAsia="zh-CN"/>
        </w:rPr>
        <w:t>；</w:t>
      </w:r>
    </w:p>
    <w:p>
      <w:pPr>
        <w:spacing w:line="360" w:lineRule="auto"/>
        <w:ind w:firstLine="544" w:firstLineChars="200"/>
        <w:rPr>
          <w:rStyle w:val="16"/>
          <w:rFonts w:hint="eastAsia" w:ascii="仿宋_GB2312" w:hAnsi="宋体" w:eastAsia="仿宋_GB2312"/>
          <w:b w:val="0"/>
          <w:bCs w:val="0"/>
          <w:spacing w:val="-4"/>
          <w:sz w:val="28"/>
          <w:szCs w:val="28"/>
          <w:lang w:eastAsia="zh-CN"/>
        </w:rPr>
      </w:pPr>
      <w:r>
        <w:rPr>
          <w:rStyle w:val="16"/>
          <w:rFonts w:hint="eastAsia" w:ascii="仿宋_GB2312" w:hAnsi="宋体" w:eastAsia="仿宋_GB2312"/>
          <w:b w:val="0"/>
          <w:bCs w:val="0"/>
          <w:spacing w:val="-4"/>
          <w:sz w:val="28"/>
          <w:szCs w:val="28"/>
        </w:rPr>
        <w:t>指标4：采暖面积，预期指标值：=33600平方米，实际完成值：=33600</w:t>
      </w:r>
      <w:r>
        <w:rPr>
          <w:rStyle w:val="16"/>
          <w:rFonts w:hint="eastAsia" w:ascii="仿宋_GB2312" w:hAnsi="宋体" w:eastAsia="仿宋_GB2312"/>
          <w:b w:val="0"/>
          <w:bCs w:val="0"/>
          <w:spacing w:val="-4"/>
          <w:sz w:val="28"/>
          <w:szCs w:val="28"/>
          <w:lang w:val="en-US" w:eastAsia="zh-CN"/>
        </w:rPr>
        <w:t>平方米</w:t>
      </w:r>
      <w:r>
        <w:rPr>
          <w:rStyle w:val="16"/>
          <w:rFonts w:hint="eastAsia" w:ascii="仿宋_GB2312" w:hAnsi="宋体" w:eastAsia="仿宋_GB2312"/>
          <w:b w:val="0"/>
          <w:bCs w:val="0"/>
          <w:spacing w:val="-4"/>
          <w:sz w:val="28"/>
          <w:szCs w:val="28"/>
        </w:rPr>
        <w:t>，指标完成率100%</w:t>
      </w:r>
      <w:r>
        <w:rPr>
          <w:rStyle w:val="16"/>
          <w:rFonts w:hint="eastAsia" w:ascii="仿宋_GB2312" w:hAnsi="宋体" w:eastAsia="仿宋_GB2312"/>
          <w:b w:val="0"/>
          <w:bCs w:val="0"/>
          <w:spacing w:val="-4"/>
          <w:sz w:val="28"/>
          <w:szCs w:val="28"/>
          <w:lang w:eastAsia="zh-CN"/>
        </w:rPr>
        <w:t>；</w:t>
      </w:r>
    </w:p>
    <w:p>
      <w:pPr>
        <w:spacing w:line="360" w:lineRule="auto"/>
        <w:ind w:firstLine="544" w:firstLineChars="200"/>
        <w:rPr>
          <w:rStyle w:val="16"/>
          <w:rFonts w:hint="eastAsia" w:ascii="仿宋_GB2312" w:hAnsi="宋体" w:eastAsia="仿宋_GB2312"/>
          <w:b w:val="0"/>
          <w:bCs w:val="0"/>
          <w:spacing w:val="-4"/>
          <w:sz w:val="28"/>
          <w:szCs w:val="28"/>
          <w:lang w:eastAsia="zh-CN"/>
        </w:rPr>
      </w:pPr>
      <w:r>
        <w:rPr>
          <w:rStyle w:val="16"/>
          <w:rFonts w:hint="eastAsia" w:ascii="仿宋_GB2312" w:hAnsi="宋体" w:eastAsia="仿宋_GB2312"/>
          <w:b w:val="0"/>
          <w:bCs w:val="0"/>
          <w:spacing w:val="-4"/>
          <w:sz w:val="28"/>
          <w:szCs w:val="28"/>
        </w:rPr>
        <w:t>指标5：保障退休人员计生津贴人数，指标值：=18人，实际完成值：18人，指标完成率100%</w:t>
      </w:r>
      <w:r>
        <w:rPr>
          <w:rStyle w:val="16"/>
          <w:rFonts w:hint="eastAsia" w:ascii="仿宋_GB2312" w:hAnsi="宋体" w:eastAsia="仿宋_GB2312"/>
          <w:b w:val="0"/>
          <w:bCs w:val="0"/>
          <w:spacing w:val="-4"/>
          <w:sz w:val="28"/>
          <w:szCs w:val="28"/>
          <w:lang w:eastAsia="zh-CN"/>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指标6：保障遗属补助人数，指标值：=26人，实际完成值：26人，指标完成率100%</w:t>
      </w:r>
      <w:r>
        <w:rPr>
          <w:rStyle w:val="16"/>
          <w:rFonts w:hint="eastAsia" w:ascii="仿宋_GB2312" w:hAnsi="宋体" w:eastAsia="仿宋_GB2312"/>
          <w:b w:val="0"/>
          <w:bCs w:val="0"/>
          <w:spacing w:val="-4"/>
          <w:sz w:val="28"/>
          <w:szCs w:val="28"/>
          <w:lang w:eastAsia="zh-CN"/>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2、质量指标：</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指标1：工资及公用经费保障率，指标值：=100%，实际完成值：100%，指标完成率100%；</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3、时效指标：</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指标1：资金发放及时性，指标值：=100%，实际完成值：100%，指标完成率100%；</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4、成本指标：</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指标1：人均人员工资，社保，住房，指标值：≤9.9万元/人/年，实际完成值：9.9万元/人/年，指标完成率100%；</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指标2：</w:t>
      </w:r>
      <w:r>
        <w:rPr>
          <w:rStyle w:val="16"/>
          <w:rFonts w:hint="eastAsia" w:ascii="仿宋_GB2312" w:hAnsi="宋体" w:eastAsia="仿宋_GB2312"/>
          <w:b w:val="0"/>
          <w:bCs w:val="0"/>
          <w:spacing w:val="-4"/>
          <w:sz w:val="28"/>
          <w:szCs w:val="28"/>
          <w:lang w:val="en-US" w:eastAsia="zh-CN"/>
        </w:rPr>
        <w:t>人均</w:t>
      </w:r>
      <w:r>
        <w:rPr>
          <w:rStyle w:val="16"/>
          <w:rFonts w:hint="eastAsia" w:ascii="仿宋_GB2312" w:hAnsi="宋体" w:eastAsia="仿宋_GB2312"/>
          <w:b w:val="0"/>
          <w:bCs w:val="0"/>
          <w:spacing w:val="-4"/>
          <w:sz w:val="28"/>
          <w:szCs w:val="28"/>
        </w:rPr>
        <w:t>退休人员计生奖励，指标值：≤0.14万元/人/年，实际完成值：0.14万元/人/年，指标完成率100%；</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指标3：人均取暖费，指标值：≤0.13万元/人/年，实际完成值：0.13万元/人/年，指标完成率100%；</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指标4：人均遗属补助，指标值：≤0.46万元/人/年，实际完成值：0.46万元/人/年，指标完成率100%；</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5、社会效益指标：</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指标1：保证教学任务及时完成，指标值：有效保证 ，实际完成值：有效保证，指标完成率100%；</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指标2：保证教师队伍稳定，指标值：有效保证，实际完成值：有效保证，指标完成率100%；</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6、满意度指标：</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指标1：教师满意度，指标值：≥95%，实际完成值：95%，指标完成率100%；</w:t>
      </w:r>
    </w:p>
    <w:p>
      <w:pPr>
        <w:spacing w:line="360" w:lineRule="auto"/>
        <w:ind w:firstLine="544" w:firstLineChars="200"/>
        <w:rPr>
          <w:rStyle w:val="16"/>
          <w:rFonts w:hint="eastAsia" w:ascii="仿宋_GB2312" w:hAnsi="宋体" w:eastAsia="仿宋_GB2312"/>
          <w:b w:val="0"/>
          <w:bCs w:val="0"/>
          <w:spacing w:val="-4"/>
          <w:sz w:val="28"/>
          <w:szCs w:val="28"/>
          <w:lang w:eastAsia="zh-CN"/>
        </w:rPr>
      </w:pPr>
      <w:r>
        <w:rPr>
          <w:rStyle w:val="16"/>
          <w:rFonts w:hint="eastAsia" w:ascii="仿宋_GB2312" w:hAnsi="宋体" w:eastAsia="仿宋_GB2312"/>
          <w:b w:val="0"/>
          <w:bCs w:val="0"/>
          <w:spacing w:val="-4"/>
          <w:sz w:val="28"/>
          <w:szCs w:val="28"/>
        </w:rPr>
        <w:t>指标2：退休教师满意度，指标值：≥95%，实际完成值：95%，指标完成率100%</w:t>
      </w:r>
      <w:r>
        <w:rPr>
          <w:rStyle w:val="16"/>
          <w:rFonts w:hint="eastAsia" w:ascii="仿宋_GB2312" w:hAnsi="宋体" w:eastAsia="仿宋_GB2312"/>
          <w:b w:val="0"/>
          <w:bCs w:val="0"/>
          <w:spacing w:val="-4"/>
          <w:sz w:val="28"/>
          <w:szCs w:val="28"/>
          <w:lang w:eastAsia="zh-CN"/>
        </w:rPr>
        <w:t>。</w:t>
      </w:r>
    </w:p>
    <w:p>
      <w:pPr>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hint="eastAsia"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1、预算绩效管理观念淡薄，缺乏主动性。</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2、预算绩效管理的组织架构不够完善，缺乏统筹性。</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3、绩效型预算编制脱离实际，缺乏前瞻性。</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4、绩效型预算评价方法比较单一、简单，大都还是采用目标分析法、成本效益分析法等，主观因素判断占比较大，尚未主动尝试采用层次分析法等先进方法。</w:t>
      </w:r>
    </w:p>
    <w:p>
      <w:pPr>
        <w:pStyle w:val="3"/>
        <w:spacing w:line="360" w:lineRule="auto"/>
        <w:rPr>
          <w:rFonts w:hint="eastAsia"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4"/>
        <w:spacing w:line="360" w:lineRule="auto"/>
        <w:rPr>
          <w:rStyle w:val="16"/>
          <w:rFonts w:hint="eastAsia" w:ascii="仿宋" w:hAnsi="仿宋" w:eastAsia="仿宋"/>
          <w:b/>
          <w:bCs/>
        </w:rPr>
      </w:pPr>
      <w:bookmarkStart w:id="29" w:name="_Toc70450319"/>
      <w:r>
        <w:rPr>
          <w:rStyle w:val="16"/>
          <w:rFonts w:hint="eastAsia" w:ascii="仿宋" w:hAnsi="仿宋" w:eastAsia="仿宋"/>
          <w:b/>
          <w:bCs/>
        </w:rPr>
        <w:t>（一）改进措施</w:t>
      </w:r>
      <w:bookmarkEnd w:id="29"/>
    </w:p>
    <w:p>
      <w:pPr>
        <w:spacing w:line="360" w:lineRule="auto"/>
        <w:ind w:firstLine="640" w:firstLineChars="200"/>
        <w:jc w:val="left"/>
        <w:rPr>
          <w:rFonts w:ascii="仿宋_GB2312" w:eastAsia="仿宋_GB2312" w:hAnsiTheme="majorEastAsia"/>
          <w:sz w:val="32"/>
          <w:szCs w:val="32"/>
        </w:rPr>
      </w:pPr>
      <w:r>
        <w:rPr>
          <w:rFonts w:hint="eastAsia" w:ascii="仿宋_GB2312" w:eastAsia="仿宋_GB2312" w:hAnsiTheme="majorEastAsia"/>
          <w:sz w:val="32"/>
          <w:szCs w:val="32"/>
        </w:rPr>
        <w:t>1、加大宣传力度，强化预算绩效意识。</w:t>
      </w:r>
    </w:p>
    <w:p>
      <w:pPr>
        <w:spacing w:line="360" w:lineRule="auto"/>
        <w:ind w:firstLine="640" w:firstLineChars="200"/>
        <w:jc w:val="left"/>
        <w:rPr>
          <w:rFonts w:ascii="仿宋_GB2312" w:eastAsia="仿宋_GB2312" w:hAnsiTheme="majorEastAsia"/>
          <w:sz w:val="32"/>
          <w:szCs w:val="32"/>
        </w:rPr>
      </w:pPr>
      <w:r>
        <w:rPr>
          <w:rFonts w:hint="eastAsia" w:ascii="仿宋_GB2312" w:eastAsia="仿宋_GB2312" w:hAnsiTheme="majorEastAsia"/>
          <w:sz w:val="32"/>
          <w:szCs w:val="32"/>
        </w:rPr>
        <w:t>2、建立内部控制与预算绩效为核心的工作理念，紧密结合各部门的职能，明确各项分工。</w:t>
      </w:r>
    </w:p>
    <w:p>
      <w:pPr>
        <w:spacing w:line="360" w:lineRule="auto"/>
        <w:ind w:firstLine="640" w:firstLineChars="200"/>
        <w:jc w:val="left"/>
        <w:rPr>
          <w:rStyle w:val="16"/>
          <w:rFonts w:ascii="仿宋" w:hAnsi="仿宋" w:eastAsia="仿宋"/>
          <w:b/>
          <w:bCs/>
        </w:rPr>
      </w:pPr>
      <w:r>
        <w:rPr>
          <w:rFonts w:hint="eastAsia" w:ascii="仿宋_GB2312" w:eastAsia="仿宋_GB2312" w:hAnsiTheme="majorEastAsia"/>
          <w:sz w:val="32"/>
          <w:szCs w:val="32"/>
        </w:rPr>
        <w:t>3、建立以解决问题为导向、指向未来的预算绩效管理模式。</w:t>
      </w:r>
    </w:p>
    <w:p>
      <w:pPr>
        <w:spacing w:line="360" w:lineRule="auto"/>
        <w:rPr>
          <w:rFonts w:ascii="仿宋" w:hAnsi="仿宋" w:eastAsia="仿宋"/>
          <w:sz w:val="22"/>
          <w:szCs w:val="28"/>
        </w:rPr>
      </w:pPr>
    </w:p>
    <w:p>
      <w:pPr>
        <w:pStyle w:val="4"/>
        <w:spacing w:line="360" w:lineRule="auto"/>
        <w:rPr>
          <w:rStyle w:val="16"/>
          <w:rFonts w:hint="eastAsia" w:ascii="仿宋" w:hAnsi="仿宋" w:eastAsia="仿宋"/>
          <w:b/>
          <w:bCs/>
        </w:rPr>
      </w:pPr>
      <w:bookmarkStart w:id="30" w:name="_Toc70450320"/>
      <w:r>
        <w:rPr>
          <w:rStyle w:val="16"/>
          <w:rFonts w:hint="eastAsia" w:ascii="仿宋" w:hAnsi="仿宋" w:eastAsia="仿宋"/>
          <w:b/>
          <w:bCs/>
        </w:rPr>
        <w:t>（二）建议</w:t>
      </w:r>
      <w:bookmarkEnd w:id="30"/>
    </w:p>
    <w:p>
      <w:pPr>
        <w:spacing w:line="360" w:lineRule="auto"/>
        <w:ind w:firstLine="640" w:firstLineChars="200"/>
        <w:jc w:val="left"/>
        <w:rPr>
          <w:rFonts w:hint="eastAsia" w:ascii="仿宋_GB2312" w:eastAsia="仿宋_GB2312" w:hAnsiTheme="majorEastAsia"/>
          <w:sz w:val="32"/>
          <w:szCs w:val="32"/>
        </w:rPr>
      </w:pPr>
      <w:r>
        <w:rPr>
          <w:rFonts w:hint="eastAsia" w:ascii="仿宋_GB2312" w:eastAsia="仿宋_GB2312" w:hAnsiTheme="majorEastAsia"/>
          <w:sz w:val="32"/>
          <w:szCs w:val="32"/>
        </w:rPr>
        <w:t>1、建立绩效评价结果与资金安排相互挂钩机制。</w:t>
      </w:r>
    </w:p>
    <w:p>
      <w:pPr>
        <w:spacing w:line="360" w:lineRule="auto"/>
        <w:ind w:firstLine="640" w:firstLineChars="200"/>
        <w:jc w:val="left"/>
        <w:rPr>
          <w:rFonts w:hint="eastAsia" w:ascii="仿宋_GB2312" w:eastAsia="仿宋_GB2312" w:hAnsiTheme="majorEastAsia"/>
          <w:sz w:val="32"/>
          <w:szCs w:val="32"/>
        </w:rPr>
      </w:pPr>
      <w:r>
        <w:rPr>
          <w:rFonts w:hint="eastAsia" w:ascii="仿宋_GB2312" w:eastAsia="仿宋_GB2312" w:hAnsiTheme="majorEastAsia"/>
          <w:sz w:val="32"/>
          <w:szCs w:val="32"/>
        </w:rPr>
        <w:t>2、建立绩效评价结果反馈与整改相互结合机制。</w:t>
      </w:r>
    </w:p>
    <w:p>
      <w:pPr>
        <w:spacing w:line="360" w:lineRule="auto"/>
        <w:ind w:firstLine="640" w:firstLineChars="200"/>
        <w:jc w:val="left"/>
        <w:rPr>
          <w:rFonts w:hint="eastAsia" w:ascii="仿宋_GB2312" w:eastAsia="仿宋_GB2312" w:hAnsiTheme="majorEastAsia"/>
          <w:sz w:val="32"/>
          <w:szCs w:val="32"/>
        </w:rPr>
      </w:pPr>
      <w:r>
        <w:rPr>
          <w:rFonts w:hint="eastAsia" w:ascii="仿宋_GB2312" w:eastAsia="仿宋_GB2312" w:hAnsiTheme="majorEastAsia"/>
          <w:sz w:val="32"/>
          <w:szCs w:val="32"/>
        </w:rPr>
        <w:t>3、建立绩效评价结果报告与通报相互结合机制。</w:t>
      </w:r>
    </w:p>
    <w:p>
      <w:pPr>
        <w:pStyle w:val="3"/>
        <w:spacing w:line="360" w:lineRule="auto"/>
        <w:rPr>
          <w:rStyle w:val="16"/>
          <w:rFonts w:ascii="仿宋" w:hAnsi="仿宋" w:eastAsia="仿宋"/>
          <w:b/>
          <w:bCs/>
          <w:sz w:val="36"/>
          <w:szCs w:val="36"/>
        </w:rPr>
      </w:pPr>
      <w:bookmarkStart w:id="31"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tbl>
      <w:tblPr>
        <w:tblStyle w:val="14"/>
        <w:tblW w:w="9720" w:type="dxa"/>
        <w:tblInd w:w="89" w:type="dxa"/>
        <w:tblLayout w:type="autofit"/>
        <w:tblCellMar>
          <w:top w:w="0" w:type="dxa"/>
          <w:left w:w="108" w:type="dxa"/>
          <w:bottom w:w="0" w:type="dxa"/>
          <w:right w:w="108" w:type="dxa"/>
        </w:tblCellMar>
      </w:tblPr>
      <w:tblGrid>
        <w:gridCol w:w="760"/>
        <w:gridCol w:w="1060"/>
        <w:gridCol w:w="1100"/>
        <w:gridCol w:w="960"/>
        <w:gridCol w:w="1020"/>
        <w:gridCol w:w="960"/>
        <w:gridCol w:w="1220"/>
        <w:gridCol w:w="920"/>
        <w:gridCol w:w="680"/>
        <w:gridCol w:w="1040"/>
      </w:tblGrid>
      <w:tr>
        <w:tblPrEx>
          <w:tblCellMar>
            <w:top w:w="0" w:type="dxa"/>
            <w:left w:w="108" w:type="dxa"/>
            <w:bottom w:w="0" w:type="dxa"/>
            <w:right w:w="108" w:type="dxa"/>
          </w:tblCellMar>
        </w:tblPrEx>
        <w:trPr>
          <w:trHeight w:val="540" w:hRule="atLeast"/>
        </w:trPr>
        <w:tc>
          <w:tcPr>
            <w:tcW w:w="9720" w:type="dxa"/>
            <w:gridSpan w:val="10"/>
            <w:tcBorders>
              <w:top w:val="nil"/>
              <w:left w:val="nil"/>
              <w:bottom w:val="nil"/>
              <w:right w:val="nil"/>
            </w:tcBorders>
            <w:shd w:val="clear" w:color="auto" w:fill="auto"/>
            <w:noWrap/>
            <w:vAlign w:val="center"/>
          </w:tcPr>
          <w:p>
            <w:pPr>
              <w:jc w:val="center"/>
              <w:rPr>
                <w:rFonts w:ascii="宋体" w:hAnsi="宋体" w:eastAsia="宋体" w:cs="宋体"/>
                <w:b/>
                <w:bCs/>
                <w:sz w:val="32"/>
                <w:szCs w:val="32"/>
              </w:rPr>
            </w:pPr>
            <w:r>
              <w:rPr>
                <w:rFonts w:hint="eastAsia"/>
                <w:b/>
                <w:bCs/>
                <w:sz w:val="32"/>
                <w:szCs w:val="32"/>
              </w:rPr>
              <w:t>部门整体支出绩效目标自评表</w:t>
            </w:r>
          </w:p>
        </w:tc>
      </w:tr>
      <w:tr>
        <w:tblPrEx>
          <w:tblCellMar>
            <w:top w:w="0" w:type="dxa"/>
            <w:left w:w="108" w:type="dxa"/>
            <w:bottom w:w="0" w:type="dxa"/>
            <w:right w:w="108" w:type="dxa"/>
          </w:tblCellMar>
        </w:tblPrEx>
        <w:trPr>
          <w:trHeight w:val="390" w:hRule="atLeast"/>
        </w:trPr>
        <w:tc>
          <w:tcPr>
            <w:tcW w:w="9720" w:type="dxa"/>
            <w:gridSpan w:val="10"/>
            <w:tcBorders>
              <w:top w:val="nil"/>
              <w:left w:val="nil"/>
              <w:bottom w:val="nil"/>
              <w:right w:val="nil"/>
            </w:tcBorders>
            <w:shd w:val="clear" w:color="auto" w:fill="auto"/>
            <w:noWrap/>
            <w:vAlign w:val="center"/>
          </w:tcPr>
          <w:p>
            <w:pPr>
              <w:jc w:val="center"/>
              <w:rPr>
                <w:rFonts w:ascii="宋体" w:hAnsi="宋体" w:eastAsia="宋体" w:cs="宋体"/>
                <w:b/>
                <w:bCs/>
                <w:sz w:val="32"/>
                <w:szCs w:val="32"/>
              </w:rPr>
            </w:pPr>
            <w:r>
              <w:rPr>
                <w:rFonts w:hint="eastAsia"/>
                <w:b/>
                <w:bCs/>
                <w:sz w:val="32"/>
                <w:szCs w:val="32"/>
              </w:rPr>
              <w:t>(2021年)</w:t>
            </w:r>
          </w:p>
        </w:tc>
      </w:tr>
      <w:tr>
        <w:tblPrEx>
          <w:tblCellMar>
            <w:top w:w="0" w:type="dxa"/>
            <w:left w:w="108" w:type="dxa"/>
            <w:bottom w:w="0" w:type="dxa"/>
            <w:right w:w="108" w:type="dxa"/>
          </w:tblCellMar>
        </w:tblPrEx>
        <w:trPr>
          <w:trHeight w:val="465" w:hRule="atLeast"/>
        </w:trPr>
        <w:tc>
          <w:tcPr>
            <w:tcW w:w="182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b/>
                <w:bCs/>
                <w:sz w:val="24"/>
              </w:rPr>
            </w:pPr>
            <w:r>
              <w:rPr>
                <w:rFonts w:hint="eastAsia"/>
                <w:b/>
                <w:bCs/>
              </w:rPr>
              <w:t>部门（单位）名称</w:t>
            </w:r>
          </w:p>
        </w:tc>
        <w:tc>
          <w:tcPr>
            <w:tcW w:w="7900" w:type="dxa"/>
            <w:gridSpan w:val="8"/>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4"/>
              </w:rPr>
            </w:pPr>
            <w:r>
              <w:rPr>
                <w:rFonts w:hint="eastAsia"/>
              </w:rPr>
              <w:t>特克斯县喀拉达拉镇文教</w:t>
            </w:r>
          </w:p>
        </w:tc>
      </w:tr>
      <w:tr>
        <w:tblPrEx>
          <w:tblCellMar>
            <w:top w:w="0" w:type="dxa"/>
            <w:left w:w="108" w:type="dxa"/>
            <w:bottom w:w="0" w:type="dxa"/>
            <w:right w:w="108" w:type="dxa"/>
          </w:tblCellMar>
        </w:tblPrEx>
        <w:trPr>
          <w:trHeight w:val="698" w:hRule="atLeast"/>
        </w:trPr>
        <w:tc>
          <w:tcPr>
            <w:tcW w:w="7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年度主要任务</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任务名称</w:t>
            </w:r>
          </w:p>
        </w:tc>
        <w:tc>
          <w:tcPr>
            <w:tcW w:w="11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主要内容</w:t>
            </w: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b/>
                <w:bCs/>
                <w:sz w:val="24"/>
              </w:rPr>
            </w:pPr>
            <w:r>
              <w:rPr>
                <w:rFonts w:hint="eastAsia"/>
                <w:b/>
                <w:bCs/>
              </w:rPr>
              <w:t>预算金额（万元）</w:t>
            </w:r>
          </w:p>
        </w:tc>
        <w:tc>
          <w:tcPr>
            <w:tcW w:w="3860" w:type="dxa"/>
            <w:gridSpan w:val="4"/>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b/>
                <w:bCs/>
                <w:sz w:val="24"/>
              </w:rPr>
            </w:pPr>
            <w:r>
              <w:rPr>
                <w:rFonts w:hint="eastAsia"/>
                <w:b/>
                <w:bCs/>
              </w:rPr>
              <w:t>实际执行（万元）</w:t>
            </w:r>
          </w:p>
        </w:tc>
      </w:tr>
      <w:tr>
        <w:tblPrEx>
          <w:tblCellMar>
            <w:top w:w="0" w:type="dxa"/>
            <w:left w:w="108" w:type="dxa"/>
            <w:bottom w:w="0" w:type="dxa"/>
            <w:right w:w="108" w:type="dxa"/>
          </w:tblCellMar>
        </w:tblPrEx>
        <w:trPr>
          <w:trHeight w:val="698" w:hRule="atLeast"/>
        </w:trPr>
        <w:tc>
          <w:tcPr>
            <w:tcW w:w="7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b/>
                <w:bCs/>
                <w:sz w:val="24"/>
              </w:rPr>
            </w:pPr>
          </w:p>
        </w:tc>
        <w:tc>
          <w:tcPr>
            <w:tcW w:w="10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b/>
                <w:bCs/>
                <w:sz w:val="24"/>
              </w:rPr>
            </w:pPr>
          </w:p>
        </w:tc>
        <w:tc>
          <w:tcPr>
            <w:tcW w:w="110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b/>
                <w:bCs/>
                <w:sz w:val="24"/>
              </w:rPr>
            </w:pP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总额</w:t>
            </w:r>
          </w:p>
        </w:tc>
        <w:tc>
          <w:tcPr>
            <w:tcW w:w="102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财政拨款</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其他资金</w:t>
            </w:r>
          </w:p>
        </w:tc>
        <w:tc>
          <w:tcPr>
            <w:tcW w:w="122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总额</w:t>
            </w:r>
          </w:p>
        </w:tc>
        <w:tc>
          <w:tcPr>
            <w:tcW w:w="16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财政拨款</w:t>
            </w:r>
          </w:p>
        </w:tc>
        <w:tc>
          <w:tcPr>
            <w:tcW w:w="104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其他资金</w:t>
            </w:r>
          </w:p>
        </w:tc>
      </w:tr>
      <w:tr>
        <w:tblPrEx>
          <w:tblCellMar>
            <w:top w:w="0" w:type="dxa"/>
            <w:left w:w="108" w:type="dxa"/>
            <w:bottom w:w="0" w:type="dxa"/>
            <w:right w:w="108" w:type="dxa"/>
          </w:tblCellMar>
        </w:tblPrEx>
        <w:trPr>
          <w:trHeight w:val="1200" w:hRule="atLeast"/>
        </w:trPr>
        <w:tc>
          <w:tcPr>
            <w:tcW w:w="7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b/>
                <w:bCs/>
                <w:sz w:val="24"/>
              </w:rPr>
            </w:pPr>
          </w:p>
        </w:tc>
        <w:tc>
          <w:tcPr>
            <w:tcW w:w="10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sz w:val="24"/>
              </w:rPr>
            </w:pPr>
            <w:r>
              <w:rPr>
                <w:rFonts w:hint="eastAsia"/>
              </w:rPr>
              <w:t>人员保障</w:t>
            </w:r>
          </w:p>
        </w:tc>
        <w:tc>
          <w:tcPr>
            <w:tcW w:w="110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sz w:val="20"/>
                <w:szCs w:val="20"/>
              </w:rPr>
            </w:pPr>
            <w:r>
              <w:rPr>
                <w:rFonts w:hint="eastAsia"/>
                <w:sz w:val="20"/>
                <w:szCs w:val="20"/>
              </w:rPr>
              <w:t>用于保障部门单位人员发放工资福利支出及对个人和家庭补助</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4118.43</w:t>
            </w:r>
          </w:p>
        </w:tc>
        <w:tc>
          <w:tcPr>
            <w:tcW w:w="102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4118.43</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0</w:t>
            </w:r>
          </w:p>
        </w:tc>
        <w:tc>
          <w:tcPr>
            <w:tcW w:w="122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4118.43</w:t>
            </w:r>
          </w:p>
        </w:tc>
        <w:tc>
          <w:tcPr>
            <w:tcW w:w="16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4118.43</w:t>
            </w:r>
          </w:p>
        </w:tc>
        <w:tc>
          <w:tcPr>
            <w:tcW w:w="104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0</w:t>
            </w:r>
          </w:p>
        </w:tc>
      </w:tr>
      <w:tr>
        <w:tblPrEx>
          <w:tblCellMar>
            <w:top w:w="0" w:type="dxa"/>
            <w:left w:w="108" w:type="dxa"/>
            <w:bottom w:w="0" w:type="dxa"/>
            <w:right w:w="108" w:type="dxa"/>
          </w:tblCellMar>
        </w:tblPrEx>
        <w:trPr>
          <w:trHeight w:val="390" w:hRule="atLeast"/>
        </w:trPr>
        <w:tc>
          <w:tcPr>
            <w:tcW w:w="7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b/>
                <w:bCs/>
                <w:sz w:val="24"/>
              </w:rPr>
            </w:pP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金额合计</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4118.43</w:t>
            </w:r>
          </w:p>
        </w:tc>
        <w:tc>
          <w:tcPr>
            <w:tcW w:w="102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4118.43</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0</w:t>
            </w:r>
          </w:p>
        </w:tc>
        <w:tc>
          <w:tcPr>
            <w:tcW w:w="122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4118.43</w:t>
            </w:r>
          </w:p>
        </w:tc>
        <w:tc>
          <w:tcPr>
            <w:tcW w:w="16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4118.43</w:t>
            </w:r>
          </w:p>
        </w:tc>
        <w:tc>
          <w:tcPr>
            <w:tcW w:w="104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0</w:t>
            </w:r>
          </w:p>
        </w:tc>
      </w:tr>
      <w:tr>
        <w:tblPrEx>
          <w:tblCellMar>
            <w:top w:w="0" w:type="dxa"/>
            <w:left w:w="108" w:type="dxa"/>
            <w:bottom w:w="0" w:type="dxa"/>
            <w:right w:w="108" w:type="dxa"/>
          </w:tblCellMar>
        </w:tblPrEx>
        <w:trPr>
          <w:trHeight w:val="698" w:hRule="atLeast"/>
        </w:trPr>
        <w:tc>
          <w:tcPr>
            <w:tcW w:w="7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年度总体目标</w:t>
            </w:r>
          </w:p>
        </w:tc>
        <w:tc>
          <w:tcPr>
            <w:tcW w:w="312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b/>
                <w:bCs/>
                <w:sz w:val="24"/>
              </w:rPr>
            </w:pPr>
            <w:r>
              <w:rPr>
                <w:rFonts w:hint="eastAsia"/>
                <w:b/>
                <w:bCs/>
              </w:rPr>
              <w:t>预期目标</w:t>
            </w:r>
          </w:p>
        </w:tc>
        <w:tc>
          <w:tcPr>
            <w:tcW w:w="5840" w:type="dxa"/>
            <w:gridSpan w:val="6"/>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实际完成目标</w:t>
            </w:r>
          </w:p>
        </w:tc>
      </w:tr>
      <w:tr>
        <w:tblPrEx>
          <w:tblCellMar>
            <w:top w:w="0" w:type="dxa"/>
            <w:left w:w="108" w:type="dxa"/>
            <w:bottom w:w="0" w:type="dxa"/>
            <w:right w:w="108" w:type="dxa"/>
          </w:tblCellMar>
        </w:tblPrEx>
        <w:trPr>
          <w:trHeight w:val="2010" w:hRule="atLeast"/>
        </w:trPr>
        <w:tc>
          <w:tcPr>
            <w:tcW w:w="7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b/>
                <w:bCs/>
                <w:sz w:val="24"/>
              </w:rPr>
            </w:pPr>
          </w:p>
        </w:tc>
        <w:tc>
          <w:tcPr>
            <w:tcW w:w="3120" w:type="dxa"/>
            <w:gridSpan w:val="3"/>
            <w:tcBorders>
              <w:top w:val="single" w:color="auto" w:sz="4" w:space="0"/>
              <w:left w:val="nil"/>
              <w:bottom w:val="single" w:color="auto" w:sz="4" w:space="0"/>
              <w:right w:val="single" w:color="000000" w:sz="4" w:space="0"/>
            </w:tcBorders>
            <w:shd w:val="clear" w:color="auto" w:fill="auto"/>
            <w:vAlign w:val="center"/>
          </w:tcPr>
          <w:p>
            <w:pPr>
              <w:rPr>
                <w:rFonts w:ascii="宋体" w:hAnsi="宋体" w:eastAsia="宋体" w:cs="宋体"/>
                <w:sz w:val="20"/>
                <w:szCs w:val="20"/>
              </w:rPr>
            </w:pPr>
            <w:r>
              <w:rPr>
                <w:rFonts w:hint="eastAsia"/>
                <w:sz w:val="20"/>
                <w:szCs w:val="20"/>
              </w:rPr>
              <w:t>目标1：确保人员经费的合理分配。目标2：完成在职教师工资发放、按时完成社保、公积金缴纳。目标3：及时完成退休教师取暖费、计生奖励金目发放。目标4：完成每年教学任务。目5：全面推进各类教师能力提升培训，加强教师队伍建设。目标6：好教育教学管理工作。</w:t>
            </w:r>
          </w:p>
        </w:tc>
        <w:tc>
          <w:tcPr>
            <w:tcW w:w="5840" w:type="dxa"/>
            <w:gridSpan w:val="6"/>
            <w:tcBorders>
              <w:top w:val="single" w:color="auto" w:sz="4" w:space="0"/>
              <w:left w:val="nil"/>
              <w:bottom w:val="single" w:color="auto" w:sz="4" w:space="0"/>
              <w:right w:val="single" w:color="000000" w:sz="4" w:space="0"/>
            </w:tcBorders>
            <w:shd w:val="clear" w:color="auto" w:fill="auto"/>
            <w:vAlign w:val="center"/>
          </w:tcPr>
          <w:p>
            <w:pPr>
              <w:rPr>
                <w:rFonts w:ascii="宋体" w:hAnsi="宋体" w:eastAsia="宋体" w:cs="宋体"/>
                <w:sz w:val="20"/>
                <w:szCs w:val="20"/>
              </w:rPr>
            </w:pPr>
            <w:r>
              <w:rPr>
                <w:rFonts w:hint="eastAsia"/>
                <w:sz w:val="20"/>
                <w:szCs w:val="20"/>
              </w:rPr>
              <w:t>完成人员经费的合理分配。完成在职教师工资发放、按时完成社保、公积金缴纳。及时完成退休教师取暖费、计生奖励金目发放。完成每年教学任务，完成全面推进各类教师能力提升培训，加强教师队伍建设。完成2021年各项教育教学管理工作。</w:t>
            </w:r>
          </w:p>
        </w:tc>
      </w:tr>
      <w:tr>
        <w:tblPrEx>
          <w:tblCellMar>
            <w:top w:w="0" w:type="dxa"/>
            <w:left w:w="108" w:type="dxa"/>
            <w:bottom w:w="0" w:type="dxa"/>
            <w:right w:w="108" w:type="dxa"/>
          </w:tblCellMar>
        </w:tblPrEx>
        <w:trPr>
          <w:trHeight w:val="1155" w:hRule="atLeast"/>
        </w:trPr>
        <w:tc>
          <w:tcPr>
            <w:tcW w:w="760" w:type="dxa"/>
            <w:vMerge w:val="restart"/>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年度绩效指标</w:t>
            </w:r>
          </w:p>
        </w:tc>
        <w:tc>
          <w:tcPr>
            <w:tcW w:w="106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一级指标</w:t>
            </w:r>
          </w:p>
        </w:tc>
        <w:tc>
          <w:tcPr>
            <w:tcW w:w="110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二级指标</w:t>
            </w: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b/>
                <w:bCs/>
                <w:sz w:val="24"/>
              </w:rPr>
            </w:pPr>
            <w:r>
              <w:rPr>
                <w:rFonts w:hint="eastAsia"/>
                <w:b/>
                <w:bCs/>
              </w:rPr>
              <w:t>三级指标</w:t>
            </w:r>
          </w:p>
        </w:tc>
        <w:tc>
          <w:tcPr>
            <w:tcW w:w="214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b/>
                <w:bCs/>
                <w:color w:val="000000"/>
                <w:sz w:val="24"/>
              </w:rPr>
            </w:pPr>
            <w:r>
              <w:rPr>
                <w:rFonts w:hint="eastAsia"/>
                <w:b/>
                <w:bCs/>
                <w:color w:val="000000"/>
              </w:rPr>
              <w:t>预期指标值（包含数字及文字描述）</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b/>
                <w:bCs/>
                <w:color w:val="000000"/>
                <w:sz w:val="24"/>
              </w:rPr>
            </w:pPr>
            <w:r>
              <w:rPr>
                <w:rFonts w:hint="eastAsia"/>
                <w:b/>
                <w:bCs/>
                <w:color w:val="000000"/>
              </w:rPr>
              <w:t>实际完成指标值（包含数字及文字描述）</w:t>
            </w:r>
          </w:p>
        </w:tc>
      </w:tr>
      <w:tr>
        <w:tblPrEx>
          <w:tblCellMar>
            <w:top w:w="0" w:type="dxa"/>
            <w:left w:w="108" w:type="dxa"/>
            <w:bottom w:w="0" w:type="dxa"/>
            <w:right w:w="108" w:type="dxa"/>
          </w:tblCellMar>
        </w:tblPrEx>
        <w:trPr>
          <w:trHeight w:val="465"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sz w:val="24"/>
              </w:rPr>
            </w:pPr>
            <w:r>
              <w:rPr>
                <w:rFonts w:hint="eastAsia"/>
              </w:rPr>
              <w:t>产出指标</w:t>
            </w:r>
          </w:p>
        </w:tc>
        <w:tc>
          <w:tcPr>
            <w:tcW w:w="1100" w:type="dxa"/>
            <w:vMerge w:val="restart"/>
            <w:tcBorders>
              <w:top w:val="nil"/>
              <w:left w:val="single" w:color="auto" w:sz="4" w:space="0"/>
              <w:bottom w:val="single" w:color="000000" w:sz="4" w:space="0"/>
              <w:right w:val="single" w:color="auto" w:sz="4" w:space="0"/>
            </w:tcBorders>
            <w:shd w:val="clear" w:color="auto" w:fill="auto"/>
            <w:noWrap/>
            <w:vAlign w:val="center"/>
          </w:tcPr>
          <w:p>
            <w:pPr>
              <w:rPr>
                <w:rFonts w:ascii="宋体" w:hAnsi="宋体" w:eastAsia="宋体" w:cs="宋体"/>
                <w:sz w:val="24"/>
              </w:rPr>
            </w:pPr>
            <w:r>
              <w:rPr>
                <w:rFonts w:hint="eastAsia"/>
              </w:rPr>
              <w:t>数量指标</w:t>
            </w: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保障在职人员数</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=378人</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378人</w:t>
            </w:r>
          </w:p>
        </w:tc>
      </w:tr>
      <w:tr>
        <w:tblPrEx>
          <w:tblCellMar>
            <w:top w:w="0" w:type="dxa"/>
            <w:left w:w="108" w:type="dxa"/>
            <w:bottom w:w="0" w:type="dxa"/>
            <w:right w:w="108" w:type="dxa"/>
          </w:tblCellMar>
        </w:tblPrEx>
        <w:trPr>
          <w:trHeight w:val="465"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rPr>
            </w:pPr>
          </w:p>
        </w:tc>
        <w:tc>
          <w:tcPr>
            <w:tcW w:w="110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sz w:val="24"/>
              </w:rPr>
            </w:pP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保障退休人员数</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=111人</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111人</w:t>
            </w:r>
          </w:p>
        </w:tc>
      </w:tr>
      <w:tr>
        <w:tblPrEx>
          <w:tblCellMar>
            <w:top w:w="0" w:type="dxa"/>
            <w:left w:w="108" w:type="dxa"/>
            <w:bottom w:w="0" w:type="dxa"/>
            <w:right w:w="108" w:type="dxa"/>
          </w:tblCellMar>
        </w:tblPrEx>
        <w:trPr>
          <w:trHeight w:val="465"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rPr>
            </w:pPr>
          </w:p>
        </w:tc>
        <w:tc>
          <w:tcPr>
            <w:tcW w:w="110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sz w:val="24"/>
              </w:rPr>
            </w:pP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保障采暖补贴人员人数</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=489人</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489人</w:t>
            </w:r>
          </w:p>
        </w:tc>
      </w:tr>
      <w:tr>
        <w:tblPrEx>
          <w:tblCellMar>
            <w:top w:w="0" w:type="dxa"/>
            <w:left w:w="108" w:type="dxa"/>
            <w:bottom w:w="0" w:type="dxa"/>
            <w:right w:w="108" w:type="dxa"/>
          </w:tblCellMar>
        </w:tblPrEx>
        <w:trPr>
          <w:trHeight w:val="465"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rPr>
            </w:pPr>
          </w:p>
        </w:tc>
        <w:tc>
          <w:tcPr>
            <w:tcW w:w="110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sz w:val="24"/>
              </w:rPr>
            </w:pP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采暖面积</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=33600平方米</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33600平方米</w:t>
            </w:r>
          </w:p>
        </w:tc>
      </w:tr>
      <w:tr>
        <w:tblPrEx>
          <w:tblCellMar>
            <w:top w:w="0" w:type="dxa"/>
            <w:left w:w="108" w:type="dxa"/>
            <w:bottom w:w="0" w:type="dxa"/>
            <w:right w:w="108" w:type="dxa"/>
          </w:tblCellMar>
        </w:tblPrEx>
        <w:trPr>
          <w:trHeight w:val="540"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rPr>
            </w:pPr>
          </w:p>
        </w:tc>
        <w:tc>
          <w:tcPr>
            <w:tcW w:w="110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sz w:val="24"/>
              </w:rPr>
            </w:pP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保障退休人员计生津贴人数</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=18人</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18人</w:t>
            </w:r>
          </w:p>
        </w:tc>
      </w:tr>
      <w:tr>
        <w:tblPrEx>
          <w:tblCellMar>
            <w:top w:w="0" w:type="dxa"/>
            <w:left w:w="108" w:type="dxa"/>
            <w:bottom w:w="0" w:type="dxa"/>
            <w:right w:w="108" w:type="dxa"/>
          </w:tblCellMar>
        </w:tblPrEx>
        <w:trPr>
          <w:trHeight w:val="465"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rPr>
            </w:pPr>
          </w:p>
        </w:tc>
        <w:tc>
          <w:tcPr>
            <w:tcW w:w="110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sz w:val="24"/>
              </w:rPr>
            </w:pP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保障遗属补助人数</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=26人</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26人</w:t>
            </w:r>
          </w:p>
        </w:tc>
      </w:tr>
      <w:tr>
        <w:tblPrEx>
          <w:tblCellMar>
            <w:top w:w="0" w:type="dxa"/>
            <w:left w:w="108" w:type="dxa"/>
            <w:bottom w:w="0" w:type="dxa"/>
            <w:right w:w="108" w:type="dxa"/>
          </w:tblCellMar>
        </w:tblPrEx>
        <w:trPr>
          <w:trHeight w:val="698"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rPr>
            </w:pPr>
          </w:p>
        </w:tc>
        <w:tc>
          <w:tcPr>
            <w:tcW w:w="1100" w:type="dxa"/>
            <w:tcBorders>
              <w:top w:val="nil"/>
              <w:left w:val="nil"/>
              <w:bottom w:val="nil"/>
              <w:right w:val="single" w:color="auto" w:sz="4" w:space="0"/>
            </w:tcBorders>
            <w:shd w:val="clear" w:color="auto" w:fill="auto"/>
            <w:noWrap/>
            <w:vAlign w:val="center"/>
          </w:tcPr>
          <w:p>
            <w:pPr>
              <w:rPr>
                <w:rFonts w:ascii="宋体" w:hAnsi="宋体" w:eastAsia="宋体" w:cs="宋体"/>
                <w:sz w:val="24"/>
              </w:rPr>
            </w:pPr>
            <w:r>
              <w:rPr>
                <w:rFonts w:hint="eastAsia"/>
              </w:rPr>
              <w:t>质量指标</w:t>
            </w: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工资及公用经费发放准确率</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=100%</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100%</w:t>
            </w:r>
          </w:p>
        </w:tc>
      </w:tr>
      <w:tr>
        <w:tblPrEx>
          <w:tblCellMar>
            <w:top w:w="0" w:type="dxa"/>
            <w:left w:w="108" w:type="dxa"/>
            <w:bottom w:w="0" w:type="dxa"/>
            <w:right w:w="108" w:type="dxa"/>
          </w:tblCellMar>
        </w:tblPrEx>
        <w:trPr>
          <w:trHeight w:val="698"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rPr>
            </w:pPr>
          </w:p>
        </w:tc>
        <w:tc>
          <w:tcPr>
            <w:tcW w:w="1100" w:type="dxa"/>
            <w:tcBorders>
              <w:top w:val="single" w:color="auto" w:sz="4" w:space="0"/>
              <w:left w:val="nil"/>
              <w:bottom w:val="nil"/>
              <w:right w:val="single" w:color="auto" w:sz="4" w:space="0"/>
            </w:tcBorders>
            <w:shd w:val="clear" w:color="auto" w:fill="auto"/>
            <w:noWrap/>
            <w:vAlign w:val="center"/>
          </w:tcPr>
          <w:p>
            <w:pPr>
              <w:rPr>
                <w:rFonts w:ascii="宋体" w:hAnsi="宋体" w:eastAsia="宋体" w:cs="宋体"/>
                <w:sz w:val="24"/>
              </w:rPr>
            </w:pPr>
            <w:r>
              <w:rPr>
                <w:rFonts w:hint="eastAsia"/>
              </w:rPr>
              <w:t>时效指标</w:t>
            </w: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资金发放及时性</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=100%</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100%</w:t>
            </w:r>
          </w:p>
        </w:tc>
      </w:tr>
      <w:tr>
        <w:tblPrEx>
          <w:tblCellMar>
            <w:top w:w="0" w:type="dxa"/>
            <w:left w:w="108" w:type="dxa"/>
            <w:bottom w:w="0" w:type="dxa"/>
            <w:right w:w="108" w:type="dxa"/>
          </w:tblCellMar>
        </w:tblPrEx>
        <w:trPr>
          <w:trHeight w:val="570"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rPr>
            </w:pPr>
          </w:p>
        </w:tc>
        <w:tc>
          <w:tcPr>
            <w:tcW w:w="1100" w:type="dxa"/>
            <w:vMerge w:val="restart"/>
            <w:tcBorders>
              <w:top w:val="single" w:color="auto" w:sz="4" w:space="0"/>
              <w:left w:val="single" w:color="auto" w:sz="4" w:space="0"/>
              <w:bottom w:val="nil"/>
              <w:right w:val="nil"/>
            </w:tcBorders>
            <w:shd w:val="clear" w:color="auto" w:fill="auto"/>
            <w:noWrap/>
            <w:vAlign w:val="center"/>
          </w:tcPr>
          <w:p>
            <w:pPr>
              <w:rPr>
                <w:rFonts w:ascii="宋体" w:hAnsi="宋体" w:eastAsia="宋体" w:cs="宋体"/>
                <w:sz w:val="24"/>
              </w:rPr>
            </w:pPr>
            <w:r>
              <w:rPr>
                <w:rFonts w:hint="eastAsia"/>
              </w:rPr>
              <w:t>成本指标</w:t>
            </w:r>
          </w:p>
        </w:tc>
        <w:tc>
          <w:tcPr>
            <w:tcW w:w="2940"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人均人员工资，社保，住房</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≤9.9万/人/年</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9.9万/人/年</w:t>
            </w:r>
          </w:p>
        </w:tc>
      </w:tr>
      <w:tr>
        <w:tblPrEx>
          <w:tblCellMar>
            <w:top w:w="0" w:type="dxa"/>
            <w:left w:w="108" w:type="dxa"/>
            <w:bottom w:w="0" w:type="dxa"/>
            <w:right w:w="108" w:type="dxa"/>
          </w:tblCellMar>
        </w:tblPrEx>
        <w:trPr>
          <w:trHeight w:val="420"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rPr>
            </w:pPr>
          </w:p>
        </w:tc>
        <w:tc>
          <w:tcPr>
            <w:tcW w:w="1100" w:type="dxa"/>
            <w:vMerge w:val="continue"/>
            <w:tcBorders>
              <w:top w:val="single" w:color="auto" w:sz="4" w:space="0"/>
              <w:left w:val="single" w:color="auto" w:sz="4" w:space="0"/>
              <w:bottom w:val="nil"/>
              <w:right w:val="nil"/>
            </w:tcBorders>
            <w:vAlign w:val="center"/>
          </w:tcPr>
          <w:p>
            <w:pPr>
              <w:rPr>
                <w:rFonts w:ascii="宋体" w:hAnsi="宋体" w:eastAsia="宋体" w:cs="宋体"/>
                <w:sz w:val="24"/>
              </w:rPr>
            </w:pPr>
          </w:p>
        </w:tc>
        <w:tc>
          <w:tcPr>
            <w:tcW w:w="2940"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人均退休人员计生奖励</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≤0.14万元/人/年</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0.14万/人/年</w:t>
            </w:r>
          </w:p>
        </w:tc>
      </w:tr>
      <w:tr>
        <w:tblPrEx>
          <w:tblCellMar>
            <w:top w:w="0" w:type="dxa"/>
            <w:left w:w="108" w:type="dxa"/>
            <w:bottom w:w="0" w:type="dxa"/>
            <w:right w:w="108" w:type="dxa"/>
          </w:tblCellMar>
        </w:tblPrEx>
        <w:trPr>
          <w:trHeight w:val="420"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rPr>
            </w:pPr>
          </w:p>
        </w:tc>
        <w:tc>
          <w:tcPr>
            <w:tcW w:w="1100" w:type="dxa"/>
            <w:vMerge w:val="continue"/>
            <w:tcBorders>
              <w:top w:val="single" w:color="auto" w:sz="4" w:space="0"/>
              <w:left w:val="single" w:color="auto" w:sz="4" w:space="0"/>
              <w:bottom w:val="nil"/>
              <w:right w:val="nil"/>
            </w:tcBorders>
            <w:vAlign w:val="center"/>
          </w:tcPr>
          <w:p>
            <w:pPr>
              <w:rPr>
                <w:rFonts w:ascii="宋体" w:hAnsi="宋体" w:eastAsia="宋体" w:cs="宋体"/>
                <w:sz w:val="24"/>
              </w:rPr>
            </w:pPr>
          </w:p>
        </w:tc>
        <w:tc>
          <w:tcPr>
            <w:tcW w:w="2940"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人均取暖费</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≤0.13万元/人/年</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0.13万/人/年</w:t>
            </w:r>
          </w:p>
        </w:tc>
      </w:tr>
      <w:tr>
        <w:tblPrEx>
          <w:tblCellMar>
            <w:top w:w="0" w:type="dxa"/>
            <w:left w:w="108" w:type="dxa"/>
            <w:bottom w:w="0" w:type="dxa"/>
            <w:right w:w="108" w:type="dxa"/>
          </w:tblCellMar>
        </w:tblPrEx>
        <w:trPr>
          <w:trHeight w:val="420"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rPr>
            </w:pPr>
          </w:p>
        </w:tc>
        <w:tc>
          <w:tcPr>
            <w:tcW w:w="1100" w:type="dxa"/>
            <w:vMerge w:val="continue"/>
            <w:tcBorders>
              <w:top w:val="single" w:color="auto" w:sz="4" w:space="0"/>
              <w:left w:val="single" w:color="auto" w:sz="4" w:space="0"/>
              <w:bottom w:val="nil"/>
              <w:right w:val="nil"/>
            </w:tcBorders>
            <w:vAlign w:val="center"/>
          </w:tcPr>
          <w:p>
            <w:pPr>
              <w:rPr>
                <w:rFonts w:ascii="宋体" w:hAnsi="宋体" w:eastAsia="宋体" w:cs="宋体"/>
                <w:sz w:val="24"/>
              </w:rPr>
            </w:pPr>
          </w:p>
        </w:tc>
        <w:tc>
          <w:tcPr>
            <w:tcW w:w="2940"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人均遗属补助</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≤0.46万元/人/年</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0.46万/人/年</w:t>
            </w:r>
          </w:p>
        </w:tc>
      </w:tr>
      <w:tr>
        <w:tblPrEx>
          <w:tblCellMar>
            <w:top w:w="0" w:type="dxa"/>
            <w:left w:w="108" w:type="dxa"/>
            <w:bottom w:w="0" w:type="dxa"/>
            <w:right w:w="108" w:type="dxa"/>
          </w:tblCellMar>
        </w:tblPrEx>
        <w:trPr>
          <w:trHeight w:val="450"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restart"/>
            <w:tcBorders>
              <w:top w:val="nil"/>
              <w:left w:val="single" w:color="auto" w:sz="4" w:space="0"/>
              <w:bottom w:val="nil"/>
              <w:right w:val="single" w:color="auto" w:sz="4" w:space="0"/>
            </w:tcBorders>
            <w:shd w:val="clear" w:color="auto" w:fill="auto"/>
            <w:vAlign w:val="center"/>
          </w:tcPr>
          <w:p>
            <w:pPr>
              <w:jc w:val="center"/>
              <w:rPr>
                <w:rFonts w:ascii="宋体" w:hAnsi="宋体" w:eastAsia="宋体" w:cs="宋体"/>
                <w:sz w:val="24"/>
              </w:rPr>
            </w:pPr>
            <w:r>
              <w:rPr>
                <w:rFonts w:hint="eastAsia"/>
              </w:rPr>
              <w:t>效益指标</w:t>
            </w:r>
          </w:p>
        </w:tc>
        <w:tc>
          <w:tcPr>
            <w:tcW w:w="110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rPr>
                <w:rFonts w:ascii="宋体" w:hAnsi="宋体" w:eastAsia="宋体" w:cs="宋体"/>
                <w:sz w:val="24"/>
              </w:rPr>
            </w:pPr>
            <w:r>
              <w:rPr>
                <w:rFonts w:hint="eastAsia"/>
              </w:rPr>
              <w:t>社会效益指标</w:t>
            </w: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保证教学任务及时完成</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有效保证</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有效保证</w:t>
            </w:r>
          </w:p>
        </w:tc>
      </w:tr>
      <w:tr>
        <w:tblPrEx>
          <w:tblCellMar>
            <w:top w:w="0" w:type="dxa"/>
            <w:left w:w="108" w:type="dxa"/>
            <w:bottom w:w="0" w:type="dxa"/>
            <w:right w:w="108" w:type="dxa"/>
          </w:tblCellMar>
        </w:tblPrEx>
        <w:trPr>
          <w:trHeight w:val="450"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continue"/>
            <w:tcBorders>
              <w:top w:val="nil"/>
              <w:left w:val="single" w:color="auto" w:sz="4" w:space="0"/>
              <w:bottom w:val="nil"/>
              <w:right w:val="single" w:color="auto" w:sz="4" w:space="0"/>
            </w:tcBorders>
            <w:vAlign w:val="center"/>
          </w:tcPr>
          <w:p>
            <w:pPr>
              <w:rPr>
                <w:rFonts w:ascii="宋体" w:hAnsi="宋体" w:eastAsia="宋体" w:cs="宋体"/>
                <w:sz w:val="24"/>
              </w:rPr>
            </w:pPr>
          </w:p>
        </w:tc>
        <w:tc>
          <w:tcPr>
            <w:tcW w:w="1100"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eastAsia="宋体" w:cs="宋体"/>
                <w:sz w:val="24"/>
              </w:rPr>
            </w:pP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保证教师队伍稳定</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有效保证</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有效保证</w:t>
            </w:r>
          </w:p>
        </w:tc>
      </w:tr>
      <w:tr>
        <w:tblPrEx>
          <w:tblCellMar>
            <w:top w:w="0" w:type="dxa"/>
            <w:left w:w="108" w:type="dxa"/>
            <w:bottom w:w="0" w:type="dxa"/>
            <w:right w:w="108" w:type="dxa"/>
          </w:tblCellMar>
        </w:tblPrEx>
        <w:trPr>
          <w:trHeight w:val="450"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sz w:val="24"/>
              </w:rPr>
            </w:pPr>
            <w:r>
              <w:rPr>
                <w:rFonts w:hint="eastAsia"/>
              </w:rPr>
              <w:t>满意度指标</w:t>
            </w:r>
          </w:p>
        </w:tc>
        <w:tc>
          <w:tcPr>
            <w:tcW w:w="1100" w:type="dxa"/>
            <w:vMerge w:val="restart"/>
            <w:tcBorders>
              <w:top w:val="nil"/>
              <w:left w:val="single" w:color="auto" w:sz="4" w:space="0"/>
              <w:bottom w:val="single" w:color="000000" w:sz="4" w:space="0"/>
              <w:right w:val="single" w:color="auto" w:sz="4" w:space="0"/>
            </w:tcBorders>
            <w:shd w:val="clear" w:color="auto" w:fill="auto"/>
            <w:vAlign w:val="center"/>
          </w:tcPr>
          <w:p>
            <w:pPr>
              <w:rPr>
                <w:rFonts w:ascii="宋体" w:hAnsi="宋体" w:eastAsia="宋体" w:cs="宋体"/>
                <w:sz w:val="24"/>
              </w:rPr>
            </w:pPr>
            <w:r>
              <w:rPr>
                <w:rFonts w:hint="eastAsia"/>
              </w:rPr>
              <w:t>满意度指标</w:t>
            </w: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教师满意度</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≥95%</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r>
              <w:rPr>
                <w:rFonts w:hint="eastAsia"/>
                <w:sz w:val="20"/>
                <w:szCs w:val="20"/>
              </w:rPr>
              <w:t>95%</w:t>
            </w:r>
          </w:p>
        </w:tc>
      </w:tr>
      <w:tr>
        <w:tblPrEx>
          <w:tblCellMar>
            <w:top w:w="0" w:type="dxa"/>
            <w:left w:w="108" w:type="dxa"/>
            <w:bottom w:w="0" w:type="dxa"/>
            <w:right w:w="108" w:type="dxa"/>
          </w:tblCellMar>
        </w:tblPrEx>
        <w:trPr>
          <w:trHeight w:val="450" w:hRule="atLeast"/>
        </w:trPr>
        <w:tc>
          <w:tcPr>
            <w:tcW w:w="76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b/>
                <w:bCs/>
                <w:sz w:val="24"/>
              </w:rPr>
            </w:pPr>
          </w:p>
        </w:tc>
        <w:tc>
          <w:tcPr>
            <w:tcW w:w="1060"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eastAsia="宋体" w:cs="宋体"/>
                <w:sz w:val="24"/>
              </w:rPr>
            </w:pPr>
          </w:p>
        </w:tc>
        <w:tc>
          <w:tcPr>
            <w:tcW w:w="110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sz w:val="24"/>
              </w:rPr>
            </w:pPr>
          </w:p>
        </w:tc>
        <w:tc>
          <w:tcPr>
            <w:tcW w:w="294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退休教师满意度</w:t>
            </w:r>
          </w:p>
        </w:tc>
        <w:tc>
          <w:tcPr>
            <w:tcW w:w="2140"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≥95%</w:t>
            </w:r>
          </w:p>
        </w:tc>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 w:val="20"/>
                <w:szCs w:val="20"/>
              </w:rPr>
            </w:pPr>
            <w:bookmarkStart w:id="33" w:name="_GoBack"/>
            <w:bookmarkEnd w:id="33"/>
            <w:r>
              <w:rPr>
                <w:rFonts w:hint="eastAsia"/>
                <w:sz w:val="20"/>
                <w:szCs w:val="20"/>
              </w:rPr>
              <w:t>95%</w:t>
            </w:r>
          </w:p>
        </w:tc>
      </w:tr>
    </w:tbl>
    <w:p>
      <w:pPr>
        <w:pStyle w:val="3"/>
        <w:spacing w:line="360" w:lineRule="auto"/>
        <w:rPr>
          <w:rStyle w:val="16"/>
          <w:rFonts w:ascii="仿宋" w:hAnsi="仿宋" w:eastAsia="仿宋"/>
          <w:b/>
          <w:bCs/>
          <w:sz w:val="36"/>
          <w:szCs w:val="36"/>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14 -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1MDZlYmI5MDk0MTg0NGQ5YjU3MzZhZWMwZGE3NjIifQ=="/>
  </w:docVars>
  <w:rsids>
    <w:rsidRoot w:val="00633862"/>
    <w:rsid w:val="00025A44"/>
    <w:rsid w:val="00072084"/>
    <w:rsid w:val="0009422A"/>
    <w:rsid w:val="000B6B13"/>
    <w:rsid w:val="000D1DEE"/>
    <w:rsid w:val="000D3AFA"/>
    <w:rsid w:val="00102778"/>
    <w:rsid w:val="00105D60"/>
    <w:rsid w:val="001121F2"/>
    <w:rsid w:val="00112859"/>
    <w:rsid w:val="001173EB"/>
    <w:rsid w:val="001472B4"/>
    <w:rsid w:val="00150C4C"/>
    <w:rsid w:val="001559CA"/>
    <w:rsid w:val="00191BA3"/>
    <w:rsid w:val="001A2299"/>
    <w:rsid w:val="001A3A0E"/>
    <w:rsid w:val="001E66BF"/>
    <w:rsid w:val="001F630E"/>
    <w:rsid w:val="0022744B"/>
    <w:rsid w:val="00234372"/>
    <w:rsid w:val="00234B37"/>
    <w:rsid w:val="00246941"/>
    <w:rsid w:val="00267824"/>
    <w:rsid w:val="002764C7"/>
    <w:rsid w:val="002B7A11"/>
    <w:rsid w:val="002D075E"/>
    <w:rsid w:val="00303A08"/>
    <w:rsid w:val="003226C4"/>
    <w:rsid w:val="00370D9F"/>
    <w:rsid w:val="0038609C"/>
    <w:rsid w:val="00391933"/>
    <w:rsid w:val="003E3DEF"/>
    <w:rsid w:val="003E7C70"/>
    <w:rsid w:val="004077A1"/>
    <w:rsid w:val="00455561"/>
    <w:rsid w:val="0047440E"/>
    <w:rsid w:val="0049337C"/>
    <w:rsid w:val="004C3C35"/>
    <w:rsid w:val="004C4C4D"/>
    <w:rsid w:val="004C6FF3"/>
    <w:rsid w:val="004D7598"/>
    <w:rsid w:val="004E69F5"/>
    <w:rsid w:val="004E7AAC"/>
    <w:rsid w:val="00531A31"/>
    <w:rsid w:val="00533C6C"/>
    <w:rsid w:val="00544E31"/>
    <w:rsid w:val="0056114B"/>
    <w:rsid w:val="00593943"/>
    <w:rsid w:val="005A08A8"/>
    <w:rsid w:val="005B1250"/>
    <w:rsid w:val="005C33CE"/>
    <w:rsid w:val="005F4688"/>
    <w:rsid w:val="006225D7"/>
    <w:rsid w:val="00633862"/>
    <w:rsid w:val="00636C95"/>
    <w:rsid w:val="006379B7"/>
    <w:rsid w:val="006413B6"/>
    <w:rsid w:val="006910A7"/>
    <w:rsid w:val="00691310"/>
    <w:rsid w:val="006A7181"/>
    <w:rsid w:val="006C5BED"/>
    <w:rsid w:val="006D3947"/>
    <w:rsid w:val="00702D4A"/>
    <w:rsid w:val="007115C8"/>
    <w:rsid w:val="00713ADC"/>
    <w:rsid w:val="007151B0"/>
    <w:rsid w:val="00725B9A"/>
    <w:rsid w:val="00754721"/>
    <w:rsid w:val="007713F8"/>
    <w:rsid w:val="007A7491"/>
    <w:rsid w:val="007A7874"/>
    <w:rsid w:val="007A7A45"/>
    <w:rsid w:val="00800784"/>
    <w:rsid w:val="00817432"/>
    <w:rsid w:val="00826CAE"/>
    <w:rsid w:val="008614D8"/>
    <w:rsid w:val="00875327"/>
    <w:rsid w:val="00886879"/>
    <w:rsid w:val="00890FC2"/>
    <w:rsid w:val="008E3F8A"/>
    <w:rsid w:val="00923468"/>
    <w:rsid w:val="00952782"/>
    <w:rsid w:val="0095580D"/>
    <w:rsid w:val="0097614B"/>
    <w:rsid w:val="00992D45"/>
    <w:rsid w:val="00995B1C"/>
    <w:rsid w:val="009A1625"/>
    <w:rsid w:val="009D0155"/>
    <w:rsid w:val="009E5FF8"/>
    <w:rsid w:val="009F06F4"/>
    <w:rsid w:val="00A05135"/>
    <w:rsid w:val="00A12B96"/>
    <w:rsid w:val="00A43D21"/>
    <w:rsid w:val="00A55238"/>
    <w:rsid w:val="00A712CF"/>
    <w:rsid w:val="00AA5126"/>
    <w:rsid w:val="00AC4471"/>
    <w:rsid w:val="00AD16CD"/>
    <w:rsid w:val="00AF42EB"/>
    <w:rsid w:val="00B130FE"/>
    <w:rsid w:val="00B34A48"/>
    <w:rsid w:val="00B407C3"/>
    <w:rsid w:val="00B666A1"/>
    <w:rsid w:val="00B809CF"/>
    <w:rsid w:val="00BA1454"/>
    <w:rsid w:val="00C42609"/>
    <w:rsid w:val="00C4673D"/>
    <w:rsid w:val="00C541A7"/>
    <w:rsid w:val="00C76454"/>
    <w:rsid w:val="00C81F75"/>
    <w:rsid w:val="00CB1C9D"/>
    <w:rsid w:val="00CC6BC6"/>
    <w:rsid w:val="00CC7606"/>
    <w:rsid w:val="00CD2F35"/>
    <w:rsid w:val="00CE16E7"/>
    <w:rsid w:val="00CE61DB"/>
    <w:rsid w:val="00D26F3D"/>
    <w:rsid w:val="00D278CF"/>
    <w:rsid w:val="00D77626"/>
    <w:rsid w:val="00D81EE2"/>
    <w:rsid w:val="00DA67B8"/>
    <w:rsid w:val="00DB1085"/>
    <w:rsid w:val="00DD223C"/>
    <w:rsid w:val="00E00533"/>
    <w:rsid w:val="00E20C39"/>
    <w:rsid w:val="00E213C7"/>
    <w:rsid w:val="00E41A31"/>
    <w:rsid w:val="00E7188B"/>
    <w:rsid w:val="00EB657C"/>
    <w:rsid w:val="00F006BD"/>
    <w:rsid w:val="00F17550"/>
    <w:rsid w:val="00F218CC"/>
    <w:rsid w:val="00F27120"/>
    <w:rsid w:val="00F341E0"/>
    <w:rsid w:val="00F36401"/>
    <w:rsid w:val="00F42445"/>
    <w:rsid w:val="00F44FCC"/>
    <w:rsid w:val="00F531CA"/>
    <w:rsid w:val="00F74974"/>
    <w:rsid w:val="00F829DE"/>
    <w:rsid w:val="00F84215"/>
    <w:rsid w:val="00F91CBB"/>
    <w:rsid w:val="00F97232"/>
    <w:rsid w:val="00FE01E9"/>
    <w:rsid w:val="00FE208A"/>
    <w:rsid w:val="0CE26AC6"/>
    <w:rsid w:val="0E9A5E97"/>
    <w:rsid w:val="19257B9E"/>
    <w:rsid w:val="1EB60E4D"/>
    <w:rsid w:val="7D905B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semiHidden="0" w:name="toc 2"/>
    <w:lsdException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uiPriority w:val="39"/>
    <w:pPr>
      <w:ind w:left="840" w:leftChars="400"/>
    </w:pPr>
  </w:style>
  <w:style w:type="paragraph" w:styleId="7">
    <w:name w:val="footer"/>
    <w:basedOn w:val="1"/>
    <w:link w:val="19"/>
    <w:unhideWhenUsed/>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rPr>
  </w:style>
  <w:style w:type="character" w:customStyle="1" w:styleId="18">
    <w:name w:val="页眉 Char"/>
    <w:basedOn w:val="15"/>
    <w:link w:val="8"/>
    <w:uiPriority w:val="99"/>
    <w:rPr>
      <w:sz w:val="18"/>
      <w:szCs w:val="18"/>
    </w:rPr>
  </w:style>
  <w:style w:type="character" w:customStyle="1" w:styleId="19">
    <w:name w:val="页脚 Char"/>
    <w:basedOn w:val="15"/>
    <w:link w:val="7"/>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Char"/>
    <w:basedOn w:val="15"/>
    <w:link w:val="13"/>
    <w:qFormat/>
    <w:uiPriority w:val="10"/>
    <w:rPr>
      <w:rFonts w:asciiTheme="majorHAnsi" w:hAnsiTheme="majorHAnsi" w:eastAsiaTheme="majorEastAsia" w:cstheme="majorBidi"/>
      <w:b/>
      <w:bCs/>
      <w:sz w:val="32"/>
      <w:szCs w:val="32"/>
    </w:rPr>
  </w:style>
  <w:style w:type="character" w:customStyle="1" w:styleId="22">
    <w:name w:val="标题 2 Char"/>
    <w:basedOn w:val="15"/>
    <w:link w:val="3"/>
    <w:qFormat/>
    <w:uiPriority w:val="9"/>
    <w:rPr>
      <w:rFonts w:asciiTheme="majorHAnsi" w:hAnsiTheme="majorHAnsi" w:eastAsiaTheme="majorEastAsia" w:cstheme="majorBidi"/>
      <w:b/>
      <w:bCs/>
      <w:sz w:val="32"/>
      <w:szCs w:val="32"/>
    </w:rPr>
  </w:style>
  <w:style w:type="character" w:customStyle="1" w:styleId="23">
    <w:name w:val="副标题 Char"/>
    <w:basedOn w:val="15"/>
    <w:link w:val="10"/>
    <w:qFormat/>
    <w:uiPriority w:val="11"/>
    <w:rPr>
      <w:b/>
      <w:bCs/>
      <w:kern w:val="28"/>
      <w:sz w:val="32"/>
      <w:szCs w:val="32"/>
    </w:rPr>
  </w:style>
  <w:style w:type="character" w:customStyle="1" w:styleId="24">
    <w:name w:val="标题 3 Char"/>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Char"/>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28">
    <w:name w:val="标题 4 Char"/>
    <w:basedOn w:val="15"/>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5933</Words>
  <Characters>6505</Characters>
  <Lines>49</Lines>
  <Paragraphs>13</Paragraphs>
  <TotalTime>4</TotalTime>
  <ScaleCrop>false</ScaleCrop>
  <LinksUpToDate>false</LinksUpToDate>
  <CharactersWithSpaces>6511</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2022-05-26T02:44:16Z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